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2019/140 vom 22. April 2020</w:t>
      </w:r>
    </w:p>
    <w:p>
      <w:r>
        <w:t>Sg Verwaltungsgericht, 2020-04-22, DE</w:t>
      </w:r>
    </w:p>
    <w:p>
      <w:r>
        <w:rPr>
          <w:b/>
        </w:rPr>
        <w:t xml:space="preserve">Quelle: </w:t>
      </w:r>
      <w:r>
        <w:t>https://mcp.opencaselaw.ch/entscheid/sg_publikationen_B 2019_140</w:t>
      </w:r>
    </w:p>
    <w:p>
      <w:r>
        <w:t>FR: SG_VERWALTUNGSGERICHT B 2019/140 du 22 avril 2020</w:t>
      </w:r>
    </w:p>
    <w:p>
      <w:r>
        <w:t>IT: SG_VERWALTUNGSGERICHT B 2019/140 del 22 aprile 2020</w:t>
      </w:r>
    </w:p>
    <w:p>
      <w:pPr>
        <w:pStyle w:val="Heading2"/>
      </w:pPr>
      <w:r>
        <w:t>Regeste</w:t>
      </w:r>
    </w:p>
    <w:p>
      <w:r>
        <w:t>Baurecht, Baubewilligung, Abweichung vom Novenverbot, Art. 6 Ziff. 1 EMRK, Art. 110 BGG, Art. 61 Abs. 3 VRP, Art. 61 BauG. Bei der Beurteilung der vorliegenden Beschwerde war zu berücksichtigen, dass zwei Grundstücke während des laufenden Beschwerdeverfahrens mit dem Baugrundstück vereinigt wurden, was zur Gutheissung der Beschwerde und zur Rückweisung der Sache an die Vorinstanz führte (E. 3), (Verwaltungsgericht, B 2019/140).</w:t>
      </w:r>
    </w:p>
    <w:p>
      <w:pPr>
        <w:pStyle w:val="Heading2"/>
      </w:pPr>
      <w:r>
        <w:t>Erwägungen</w:t>
      </w:r>
    </w:p>
    <w:p>
      <w:r>
        <w:rPr>
          <w:b/>
        </w:rPr>
        <w:t>E. 2</w:t>
      </w:r>
    </w:p>
    <w:p>
      <w:r>
        <w:t>) anrechenbarer Geschossfläche. Wie bereits ausgeführt (vgl. E. 1 hiervor), hat die Vorinstanz den Baubewilligungs- und Einspracheentscheid der Beschwerdebeteiligten vom 20. März 2018 lediglich mit der Begründung aufgehoben, das Bauvorhaben überschreite die in der Wohnzone W2b maximal zulässige Ausnützungsziffer von 0.5. Ob die weiteren Rügen der Beschwerdegegner im Rekursverfahren zur Aufhebung des erstinstanzlichen Entscheids geführt hätten, liess die Vorinstanz offen, obgleich dies der beförderlichen Erledigung des Verfahrens (Art. 29 Abs. 1 BV) zuwiderlaufen kann. Dadurch ist dem Verwaltungsgericht eine abschliessende materielle Beurteilung verwehrt. Die Beschwerde ist daher gutzuheissen und der angefochtene Entscheid aufzuheben. Die Angelegenheit ist gestützt auf Art. 64 in Verbindung mit Art. 56 Abs. 2 VRP an die Vorinstanz zurückzuweisen, welcher – im Gegensatz zum Verwaltungsgericht (Art. 61 Abs. 1 und 2 VRP) – die volle überprüfungsbefugnis, d.h. entgegen dem Wortlaut von Art. 46 Abs. 2 Satz 1 VRP auch die Prüfung der Unangemessenheit (vgl. dazu Aemisegger/Haag, in: derselbe/Moor/Ruch/Tschannen [Hrsg.], Praxiskommentar RPG: Baubewilligung, Rechtsschutz und Verfahren, Zürich 2020, Art. 33 Rz. 82-84 und 100) zusteht (vgl. Art. 33 Abs. 3 lit. b des Bundesgesetzes über die Raumplanung, Raumplanungsgesetz; SR 700, RPG). Die Vorinstanz hat die Sache unter Berücksichtigung der zwischenzeitlichen erfolgten Grundstücksvereinigung und des Verzichts der Beschwerdeführerin auf die Ausscheidung des Parkplatzes P5 neu zu entscheiden. Dem Erfolgsprinzip – Rückweisung der Sache an die Vorinstanz mit noch offenem Ausgang (vgl. dazu Art. 95 Abs. 1 VRP und VerwGE B 2017/76 vom 16. August 2018 E. 5 mit Hinweisen) – und dem Verursacherprinzip – nachträgliches Vorbringen von Tatsachen, deren rechtzeitige Geltendmachung möglich und zumutbar gewesen wäre (vgl. hierzu Art. 95 Abs. 2 Satz 2 VRP und R. von Rappard-Hirt, in: Rizvi/Schindler/Cavelti [Hrsg.], Gesetz über die Verwaltungsrechtspflege, Praxiskommentar, Zürich/St. Gallen 2020, N 10 zu Art. 95) – entsprechend gehen die amtlichen Kosten des Beschwerdeverfahrens zur Hälfte zu Lasten der Beschwerdeführerin und zu je einem Viertel zu Lasten der Beschwerdegegner 1 und 2 bzw. 3 bis 7. Eine Entscheidgebühr von CHF 3‘000 erscheint angemessen (Art. 7 Ziff. 222 der Gerichtskostenverordnung; sGS 941.12, GKV). Der der Beschwerdeführerin auferlegte Kostenanteil von CHF 1'500 ist mit dem von ihr geleisteten Kostenvorschuss von CHF 4'500 zu verrechnen. Der Restbetrag von CHF 3'000 wird ihr zurückerstattet. Die Beschwerdegegner 1 und 2 bzw. 3 bis 7 bezahlen unter solidarischer Haftbarkeit (Art. 96 bis VRP) den sie je treffenden Anteil von CHF 750. Der Beschwerdeführerin, welche ohnehin keine Angaben über getätigte (erhebliche) Aufwände gemacht hat, und den Beschwerdegegnern steht bei diesem Verfahrensausgang kein Anspruch auf Ersatz der ausseramtlichen Kosten zu (vgl. dazu Art. 98 Abs. 1, Art. 98 bis und Art. 98 ter VRP in Verbindung mit Art. 95 Abs. 3 lit. c der Schweizerischen Zivilprozessordnung, Zivilprozessordnung; SR 272, ZPO, sowie VerwGE B 2019/192 vom 24. Februar 2020 E. 5.2 und VerwGE B 2019/223 vom 30. Oktober 2019 E. 3.1 je mit Hinweisen). Demnach erkennt das Verwaltungsgericht auf dem Zirkulationsweg zu Recht: Die Beschwerde wird gutheissen, der angefochtene Entscheid aufgehoben und die Angelegenheit zu neuem Entscheid im Sinne der Erwägungen an die Vorinstanz zurückgewiesen. Die amtlichen Kosten von CHF 3'000 werden zur Hälfte der Beschwerdeführerin und je zu einem Viertel den Beschwerdegegnern 1 und 2 resp. 3 bis 7 auferlegt. Der die Beschwerdeführerin treffende Kostenanteil von CHF 1'500 wird mit dem geleisteten Kostenvorschuss von CHF 4'500 verrechnet. CHF 3'000 werden ihr zurückerstattet. Die Beschwerdegegner 1 und 2 resp. 3 bis 7 bezahlen je CHF 750. Ausseramtliche Entschädigung werden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